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0F" w:rsidRPr="00996A7D" w:rsidRDefault="00FF400F">
      <w:pPr>
        <w:ind w:leftChars="118" w:left="283"/>
        <w:jc w:val="right"/>
        <w:rPr>
          <w:rFonts w:asciiTheme="majorEastAsia" w:eastAsiaTheme="majorEastAsia" w:hAnsiTheme="majorEastAsia"/>
          <w:szCs w:val="24"/>
        </w:rPr>
      </w:pPr>
      <w:r w:rsidRPr="00996A7D">
        <w:rPr>
          <w:rFonts w:asciiTheme="majorEastAsia" w:eastAsiaTheme="majorEastAsia" w:hAnsiTheme="majorEastAsia" w:hint="eastAsia"/>
          <w:szCs w:val="24"/>
        </w:rPr>
        <w:t>全Ｌ協保安</w:t>
      </w:r>
      <w:r w:rsidR="00147026" w:rsidRPr="00996A7D">
        <w:rPr>
          <w:rFonts w:asciiTheme="majorEastAsia" w:eastAsiaTheme="majorEastAsia" w:hAnsiTheme="majorEastAsia" w:hint="eastAsia"/>
          <w:szCs w:val="24"/>
        </w:rPr>
        <w:t>２</w:t>
      </w:r>
      <w:r w:rsidRPr="00996A7D">
        <w:rPr>
          <w:rFonts w:asciiTheme="majorEastAsia" w:eastAsiaTheme="majorEastAsia" w:hAnsiTheme="majorEastAsia" w:hint="eastAsia"/>
          <w:szCs w:val="24"/>
        </w:rPr>
        <w:t>第</w:t>
      </w:r>
      <w:r w:rsidR="00147026" w:rsidRPr="00996A7D">
        <w:rPr>
          <w:rFonts w:asciiTheme="majorEastAsia" w:eastAsiaTheme="majorEastAsia" w:hAnsiTheme="majorEastAsia" w:hint="eastAsia"/>
          <w:szCs w:val="24"/>
        </w:rPr>
        <w:t>４</w:t>
      </w:r>
      <w:r w:rsidRPr="00996A7D">
        <w:rPr>
          <w:rFonts w:asciiTheme="majorEastAsia" w:eastAsiaTheme="majorEastAsia" w:hAnsiTheme="majorEastAsia" w:hint="eastAsia"/>
          <w:szCs w:val="24"/>
        </w:rPr>
        <w:t>号</w:t>
      </w:r>
    </w:p>
    <w:p w:rsidR="00FF400F" w:rsidRPr="00996A7D" w:rsidRDefault="00063B6B">
      <w:pPr>
        <w:jc w:val="right"/>
        <w:rPr>
          <w:rFonts w:asciiTheme="majorEastAsia" w:eastAsiaTheme="majorEastAsia" w:hAnsiTheme="majorEastAsia"/>
          <w:szCs w:val="24"/>
        </w:rPr>
      </w:pPr>
      <w:r w:rsidRPr="00996A7D">
        <w:rPr>
          <w:rFonts w:asciiTheme="majorEastAsia" w:eastAsiaTheme="majorEastAsia" w:hAnsiTheme="majorEastAsia" w:hint="eastAsia"/>
          <w:szCs w:val="24"/>
        </w:rPr>
        <w:t>令和２</w:t>
      </w:r>
      <w:r w:rsidR="00C810B5" w:rsidRPr="00996A7D">
        <w:rPr>
          <w:rFonts w:asciiTheme="majorEastAsia" w:eastAsiaTheme="majorEastAsia" w:hAnsiTheme="majorEastAsia" w:hint="eastAsia"/>
          <w:szCs w:val="24"/>
        </w:rPr>
        <w:t>年</w:t>
      </w:r>
      <w:r w:rsidR="00147026" w:rsidRPr="00996A7D">
        <w:rPr>
          <w:rFonts w:asciiTheme="majorEastAsia" w:eastAsiaTheme="majorEastAsia" w:hAnsiTheme="majorEastAsia" w:hint="eastAsia"/>
          <w:szCs w:val="24"/>
        </w:rPr>
        <w:t>４</w:t>
      </w:r>
      <w:r w:rsidR="00C810B5" w:rsidRPr="00996A7D">
        <w:rPr>
          <w:rFonts w:asciiTheme="majorEastAsia" w:eastAsiaTheme="majorEastAsia" w:hAnsiTheme="majorEastAsia" w:hint="eastAsia"/>
          <w:szCs w:val="24"/>
        </w:rPr>
        <w:t>月</w:t>
      </w:r>
      <w:r w:rsidR="00116A90">
        <w:rPr>
          <w:rFonts w:asciiTheme="majorEastAsia" w:eastAsiaTheme="majorEastAsia" w:hAnsiTheme="majorEastAsia" w:hint="eastAsia"/>
          <w:szCs w:val="24"/>
        </w:rPr>
        <w:t>１３</w:t>
      </w:r>
      <w:r w:rsidR="00FF400F" w:rsidRPr="00996A7D">
        <w:rPr>
          <w:rFonts w:asciiTheme="majorEastAsia" w:eastAsiaTheme="majorEastAsia" w:hAnsiTheme="majorEastAsia" w:hint="eastAsia"/>
          <w:szCs w:val="24"/>
        </w:rPr>
        <w:t>日</w:t>
      </w:r>
    </w:p>
    <w:p w:rsidR="00FF400F" w:rsidRPr="00996A7D" w:rsidRDefault="00FF400F">
      <w:pPr>
        <w:jc w:val="left"/>
        <w:rPr>
          <w:rFonts w:asciiTheme="majorEastAsia" w:eastAsiaTheme="majorEastAsia" w:hAnsiTheme="majorEastAsia"/>
          <w:spacing w:val="48"/>
          <w:kern w:val="0"/>
          <w:szCs w:val="24"/>
        </w:rPr>
      </w:pPr>
      <w:r w:rsidRPr="00996A7D">
        <w:rPr>
          <w:rFonts w:asciiTheme="majorEastAsia" w:eastAsiaTheme="majorEastAsia" w:hAnsiTheme="majorEastAsia" w:hint="eastAsia"/>
          <w:spacing w:val="48"/>
          <w:kern w:val="0"/>
          <w:szCs w:val="24"/>
        </w:rPr>
        <w:t>正　会　員　各位</w:t>
      </w:r>
    </w:p>
    <w:p w:rsidR="00FF400F" w:rsidRPr="00996A7D" w:rsidRDefault="00FF400F">
      <w:pPr>
        <w:jc w:val="right"/>
        <w:rPr>
          <w:rFonts w:asciiTheme="majorEastAsia" w:eastAsiaTheme="majorEastAsia" w:hAnsiTheme="majorEastAsia"/>
          <w:szCs w:val="24"/>
        </w:rPr>
      </w:pPr>
      <w:r w:rsidRPr="00996A7D">
        <w:rPr>
          <w:rFonts w:asciiTheme="majorEastAsia" w:eastAsiaTheme="majorEastAsia" w:hAnsiTheme="majorEastAsia" w:hint="eastAsia"/>
          <w:szCs w:val="24"/>
        </w:rPr>
        <w:t>（一社）全国ＬＰガス協会</w:t>
      </w:r>
    </w:p>
    <w:p w:rsidR="00147026" w:rsidRPr="00996A7D" w:rsidRDefault="00147026" w:rsidP="0055322F">
      <w:pPr>
        <w:tabs>
          <w:tab w:val="left" w:pos="8504"/>
        </w:tabs>
        <w:ind w:right="-1"/>
        <w:jc w:val="left"/>
        <w:rPr>
          <w:rFonts w:asciiTheme="majorEastAsia" w:eastAsiaTheme="majorEastAsia" w:hAnsiTheme="majorEastAsia"/>
          <w:szCs w:val="24"/>
        </w:rPr>
      </w:pPr>
    </w:p>
    <w:p w:rsidR="00116A90" w:rsidRDefault="00E428B6" w:rsidP="00116A90">
      <w:pPr>
        <w:tabs>
          <w:tab w:val="left" w:pos="8504"/>
        </w:tabs>
        <w:ind w:leftChars="59" w:left="142" w:right="-1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新型コロナウイルスの影響を踏まえた</w:t>
      </w:r>
      <w:r w:rsidR="00063B6B" w:rsidRPr="00996A7D">
        <w:rPr>
          <w:rFonts w:asciiTheme="majorEastAsia" w:eastAsiaTheme="majorEastAsia" w:hAnsiTheme="majorEastAsia" w:hint="eastAsia"/>
          <w:szCs w:val="24"/>
        </w:rPr>
        <w:t>液石法等</w:t>
      </w:r>
      <w:r>
        <w:rPr>
          <w:rFonts w:asciiTheme="majorEastAsia" w:eastAsiaTheme="majorEastAsia" w:hAnsiTheme="majorEastAsia" w:hint="eastAsia"/>
          <w:szCs w:val="24"/>
        </w:rPr>
        <w:t>の</w:t>
      </w:r>
      <w:r w:rsidR="0088289D" w:rsidRPr="00996A7D">
        <w:rPr>
          <w:rFonts w:asciiTheme="majorEastAsia" w:eastAsiaTheme="majorEastAsia" w:hAnsiTheme="majorEastAsia" w:hint="eastAsia"/>
          <w:szCs w:val="24"/>
        </w:rPr>
        <w:t>各種期限の</w:t>
      </w:r>
      <w:r w:rsidR="00063B6B" w:rsidRPr="00996A7D">
        <w:rPr>
          <w:rFonts w:asciiTheme="majorEastAsia" w:eastAsiaTheme="majorEastAsia" w:hAnsiTheme="majorEastAsia" w:hint="eastAsia"/>
          <w:szCs w:val="24"/>
        </w:rPr>
        <w:t>延長について</w:t>
      </w:r>
    </w:p>
    <w:p w:rsidR="00116A90" w:rsidRPr="0074710D" w:rsidRDefault="00116A90" w:rsidP="00116A90">
      <w:pPr>
        <w:tabs>
          <w:tab w:val="left" w:pos="8504"/>
        </w:tabs>
        <w:ind w:leftChars="59" w:left="142" w:right="-1"/>
        <w:jc w:val="center"/>
        <w:rPr>
          <w:rFonts w:asciiTheme="majorEastAsia" w:eastAsiaTheme="majorEastAsia" w:hAnsiTheme="majorEastAsia"/>
          <w:szCs w:val="24"/>
        </w:rPr>
      </w:pPr>
    </w:p>
    <w:p w:rsidR="00063B6B" w:rsidRPr="00996A7D" w:rsidRDefault="00063B6B" w:rsidP="00203551">
      <w:pPr>
        <w:spacing w:afterLines="50" w:after="120"/>
        <w:ind w:firstLineChars="100" w:firstLine="240"/>
        <w:rPr>
          <w:rFonts w:asciiTheme="majorEastAsia" w:eastAsiaTheme="majorEastAsia" w:hAnsiTheme="majorEastAsia"/>
          <w:szCs w:val="24"/>
        </w:rPr>
      </w:pPr>
      <w:r w:rsidRPr="00996A7D">
        <w:rPr>
          <w:rFonts w:asciiTheme="majorEastAsia" w:eastAsiaTheme="majorEastAsia" w:hAnsiTheme="majorEastAsia" w:hint="eastAsia"/>
          <w:szCs w:val="24"/>
        </w:rPr>
        <w:t>標記につきまして、</w:t>
      </w:r>
      <w:r w:rsidR="0074710D">
        <w:rPr>
          <w:rFonts w:asciiTheme="majorEastAsia" w:eastAsiaTheme="majorEastAsia" w:hAnsiTheme="majorEastAsia" w:hint="eastAsia"/>
          <w:szCs w:val="24"/>
        </w:rPr>
        <w:t>４月１０日</w:t>
      </w:r>
      <w:r w:rsidRPr="00996A7D">
        <w:rPr>
          <w:rFonts w:asciiTheme="majorEastAsia" w:eastAsiaTheme="majorEastAsia" w:hAnsiTheme="majorEastAsia" w:hint="eastAsia"/>
          <w:szCs w:val="24"/>
        </w:rPr>
        <w:t>付けで公布、施行されましたのでお知らせいたします</w:t>
      </w:r>
      <w:r w:rsidRPr="000655DA">
        <w:rPr>
          <w:rFonts w:asciiTheme="majorEastAsia" w:eastAsiaTheme="majorEastAsia" w:hAnsiTheme="majorEastAsia" w:hint="eastAsia"/>
          <w:szCs w:val="24"/>
        </w:rPr>
        <w:t>。詳細については</w:t>
      </w:r>
      <w:r w:rsidR="00116A90">
        <w:rPr>
          <w:rFonts w:asciiTheme="majorEastAsia" w:eastAsiaTheme="majorEastAsia" w:hAnsiTheme="majorEastAsia" w:hint="eastAsia"/>
          <w:szCs w:val="24"/>
        </w:rPr>
        <w:t>下記の</w:t>
      </w:r>
      <w:r w:rsidR="000655DA" w:rsidRPr="000655DA">
        <w:rPr>
          <w:rFonts w:asciiTheme="majorEastAsia" w:eastAsiaTheme="majorEastAsia" w:hAnsiTheme="majorEastAsia" w:hint="eastAsia"/>
          <w:szCs w:val="24"/>
        </w:rPr>
        <w:t>経済産業省ホームページ</w:t>
      </w:r>
      <w:r w:rsidRPr="000655DA">
        <w:rPr>
          <w:rFonts w:asciiTheme="majorEastAsia" w:eastAsiaTheme="majorEastAsia" w:hAnsiTheme="majorEastAsia" w:hint="eastAsia"/>
          <w:szCs w:val="24"/>
        </w:rPr>
        <w:t>をご参照ください。</w:t>
      </w:r>
    </w:p>
    <w:p w:rsidR="00FF400F" w:rsidRPr="00996A7D" w:rsidRDefault="00FF400F" w:rsidP="00203551">
      <w:pPr>
        <w:spacing w:afterLines="20" w:after="48"/>
        <w:ind w:firstLineChars="100" w:firstLine="240"/>
        <w:rPr>
          <w:rFonts w:asciiTheme="majorEastAsia" w:eastAsiaTheme="majorEastAsia" w:hAnsiTheme="majorEastAsia"/>
          <w:szCs w:val="24"/>
        </w:rPr>
      </w:pPr>
      <w:r w:rsidRPr="00996A7D">
        <w:rPr>
          <w:rFonts w:asciiTheme="majorEastAsia" w:eastAsiaTheme="majorEastAsia" w:hAnsiTheme="majorEastAsia" w:hint="eastAsia"/>
          <w:szCs w:val="24"/>
        </w:rPr>
        <w:t>つきましては、都道府県協会におかれましては会員に対し、また直接会員におかれましては営業所等に対し、ご周知くださいますようよろしくお願いいたします。</w:t>
      </w:r>
    </w:p>
    <w:p w:rsidR="00116A90" w:rsidRDefault="00116A90" w:rsidP="00116A90">
      <w:pPr>
        <w:spacing w:afterLines="20" w:after="48" w:line="240" w:lineRule="exact"/>
        <w:jc w:val="center"/>
        <w:rPr>
          <w:rFonts w:asciiTheme="majorEastAsia" w:eastAsiaTheme="majorEastAsia" w:hAnsiTheme="majorEastAsia"/>
          <w:szCs w:val="24"/>
        </w:rPr>
      </w:pPr>
    </w:p>
    <w:p w:rsidR="0055322F" w:rsidRPr="00996A7D" w:rsidRDefault="00116A90" w:rsidP="00116A90">
      <w:pPr>
        <w:spacing w:afterLines="20" w:after="48" w:line="240" w:lineRule="exac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記</w:t>
      </w:r>
    </w:p>
    <w:p w:rsidR="00FF400F" w:rsidRPr="00996A7D" w:rsidRDefault="00116A90" w:rsidP="00203551">
      <w:pPr>
        <w:spacing w:afterLines="20" w:after="48"/>
        <w:rPr>
          <w:rFonts w:asciiTheme="majorEastAsia" w:eastAsiaTheme="majorEastAsia" w:hAnsiTheme="majorEastAsia"/>
          <w:b/>
          <w:szCs w:val="24"/>
          <w:bdr w:val="single" w:sz="4" w:space="0" w:color="auto"/>
        </w:rPr>
      </w:pPr>
      <w:r w:rsidRPr="00116A90">
        <w:rPr>
          <w:rFonts w:asciiTheme="majorEastAsia" w:eastAsiaTheme="majorEastAsia" w:hAnsiTheme="majorEastAsia" w:hint="eastAsia"/>
          <w:b/>
          <w:szCs w:val="24"/>
        </w:rPr>
        <w:t>【</w:t>
      </w:r>
      <w:r w:rsidR="00FF400F" w:rsidRPr="00116A90">
        <w:rPr>
          <w:rFonts w:asciiTheme="majorEastAsia" w:eastAsiaTheme="majorEastAsia" w:hAnsiTheme="majorEastAsia" w:hint="eastAsia"/>
          <w:b/>
          <w:szCs w:val="24"/>
        </w:rPr>
        <w:t>改正の概要</w:t>
      </w:r>
      <w:r w:rsidRPr="00116A90">
        <w:rPr>
          <w:rFonts w:asciiTheme="majorEastAsia" w:eastAsiaTheme="majorEastAsia" w:hAnsiTheme="majorEastAsia" w:hint="eastAsia"/>
          <w:b/>
          <w:szCs w:val="24"/>
        </w:rPr>
        <w:t>】</w:t>
      </w:r>
      <w:r w:rsidR="0055322F" w:rsidRPr="00996A7D">
        <w:rPr>
          <w:rFonts w:asciiTheme="majorEastAsia" w:eastAsiaTheme="majorEastAsia" w:hAnsiTheme="majorEastAsia" w:hint="eastAsia"/>
          <w:b/>
          <w:szCs w:val="24"/>
          <w:bdr w:val="single" w:sz="4" w:space="0" w:color="auto"/>
        </w:rPr>
        <w:t xml:space="preserve"> </w:t>
      </w:r>
    </w:p>
    <w:p w:rsidR="00147026" w:rsidRPr="00996A7D" w:rsidRDefault="007915E0" w:rsidP="00147026">
      <w:pPr>
        <w:rPr>
          <w:rFonts w:asciiTheme="majorEastAsia" w:eastAsiaTheme="majorEastAsia" w:hAnsiTheme="majorEastAsia"/>
          <w:b/>
          <w:szCs w:val="24"/>
        </w:rPr>
      </w:pPr>
      <w:r w:rsidRPr="00996A7D">
        <w:rPr>
          <w:rFonts w:asciiTheme="majorEastAsia" w:eastAsiaTheme="majorEastAsia" w:hAnsiTheme="majorEastAsia" w:hint="eastAsia"/>
          <w:b/>
          <w:szCs w:val="24"/>
        </w:rPr>
        <w:t>○液</w:t>
      </w:r>
      <w:r w:rsidR="00063B6B" w:rsidRPr="00996A7D">
        <w:rPr>
          <w:rFonts w:asciiTheme="majorEastAsia" w:eastAsiaTheme="majorEastAsia" w:hAnsiTheme="majorEastAsia" w:hint="eastAsia"/>
          <w:b/>
          <w:szCs w:val="24"/>
        </w:rPr>
        <w:t>石法</w:t>
      </w:r>
      <w:r w:rsidR="00B404D8" w:rsidRPr="00996A7D">
        <w:rPr>
          <w:rFonts w:asciiTheme="majorEastAsia" w:eastAsiaTheme="majorEastAsia" w:hAnsiTheme="majorEastAsia" w:hint="eastAsia"/>
          <w:b/>
          <w:szCs w:val="24"/>
        </w:rPr>
        <w:t>関連</w:t>
      </w:r>
    </w:p>
    <w:tbl>
      <w:tblPr>
        <w:tblStyle w:val="a8"/>
        <w:tblpPr w:leftFromText="142" w:rightFromText="142" w:vertAnchor="page" w:horzAnchor="margin" w:tblpY="5749"/>
        <w:tblW w:w="0" w:type="auto"/>
        <w:tblLook w:val="04A0" w:firstRow="1" w:lastRow="0" w:firstColumn="1" w:lastColumn="0" w:noHBand="0" w:noVBand="1"/>
      </w:tblPr>
      <w:tblGrid>
        <w:gridCol w:w="6912"/>
        <w:gridCol w:w="2869"/>
      </w:tblGrid>
      <w:tr w:rsidR="00116A90" w:rsidRPr="00996A7D" w:rsidTr="00116A90">
        <w:trPr>
          <w:trHeight w:val="39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90" w:rsidRPr="00996A7D" w:rsidRDefault="00116A90" w:rsidP="00116A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6A7D">
              <w:rPr>
                <w:rFonts w:asciiTheme="majorEastAsia" w:eastAsiaTheme="majorEastAsia" w:hAnsiTheme="majorEastAsia" w:hint="eastAsia"/>
                <w:szCs w:val="24"/>
              </w:rPr>
              <w:t>措置名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90" w:rsidRPr="00996A7D" w:rsidRDefault="00116A90" w:rsidP="00116A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6A7D">
              <w:rPr>
                <w:rFonts w:asciiTheme="majorEastAsia" w:eastAsiaTheme="majorEastAsia" w:hAnsiTheme="majorEastAsia" w:hint="eastAsia"/>
                <w:szCs w:val="24"/>
              </w:rPr>
              <w:t>適用期間</w:t>
            </w:r>
          </w:p>
        </w:tc>
      </w:tr>
      <w:tr w:rsidR="00116A90" w:rsidRPr="00996A7D" w:rsidTr="00116A90">
        <w:trPr>
          <w:trHeight w:val="6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90" w:rsidRPr="00116A90" w:rsidRDefault="00116A90" w:rsidP="00116A90">
            <w:pPr>
              <w:rPr>
                <w:rFonts w:asciiTheme="majorEastAsia" w:eastAsiaTheme="majorEastAsia" w:hAnsiTheme="majorEastAsia"/>
                <w:szCs w:val="24"/>
              </w:rPr>
            </w:pPr>
            <w:r w:rsidRPr="00116A90">
              <w:rPr>
                <w:rFonts w:asciiTheme="majorEastAsia" w:eastAsiaTheme="majorEastAsia" w:hAnsiTheme="majorEastAsia" w:hint="eastAsia"/>
                <w:szCs w:val="24"/>
              </w:rPr>
              <w:t>供給設備の点検の期限延長（規則第36条　第1項　第1号）</w:t>
            </w:r>
          </w:p>
          <w:p w:rsidR="00116A90" w:rsidRPr="00116A90" w:rsidRDefault="0080133B" w:rsidP="00116A90">
            <w:pPr>
              <w:rPr>
                <w:rFonts w:asciiTheme="majorEastAsia" w:eastAsiaTheme="majorEastAsia" w:hAnsiTheme="majorEastAsia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u w:val="single"/>
              </w:rPr>
              <w:t>※３号業務が対象で、１号業務、２号業務</w:t>
            </w:r>
            <w:bookmarkStart w:id="0" w:name="_GoBack"/>
            <w:bookmarkEnd w:id="0"/>
            <w:r w:rsidR="00116A90" w:rsidRPr="00116A90">
              <w:rPr>
                <w:rFonts w:asciiTheme="majorEastAsia" w:eastAsiaTheme="majorEastAsia" w:hAnsiTheme="majorEastAsia" w:hint="eastAsia"/>
                <w:szCs w:val="24"/>
                <w:u w:val="single"/>
              </w:rPr>
              <w:t>は対象外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A90" w:rsidRPr="00996A7D" w:rsidRDefault="00116A90" w:rsidP="00116A90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2E73AD">
              <w:rPr>
                <w:rFonts w:asciiTheme="majorEastAsia" w:eastAsiaTheme="majorEastAsia" w:hAnsiTheme="majorEastAsia" w:hint="eastAsia"/>
                <w:szCs w:val="24"/>
              </w:rPr>
              <w:t>令和２年４月１０日から同年９月３０日までの間に終了する場合は、その期間を４ヶ月延長する。</w:t>
            </w:r>
          </w:p>
        </w:tc>
      </w:tr>
      <w:tr w:rsidR="00116A90" w:rsidRPr="00996A7D" w:rsidTr="00116A90">
        <w:trPr>
          <w:trHeight w:val="6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90" w:rsidRPr="00116A90" w:rsidRDefault="00116A90" w:rsidP="00116A90">
            <w:pPr>
              <w:rPr>
                <w:rFonts w:asciiTheme="majorEastAsia" w:eastAsiaTheme="majorEastAsia" w:hAnsiTheme="majorEastAsia"/>
                <w:szCs w:val="24"/>
              </w:rPr>
            </w:pPr>
            <w:r w:rsidRPr="00116A90">
              <w:rPr>
                <w:rFonts w:asciiTheme="majorEastAsia" w:eastAsiaTheme="majorEastAsia" w:hAnsiTheme="majorEastAsia" w:hint="eastAsia"/>
                <w:szCs w:val="24"/>
              </w:rPr>
              <w:t>消費設備の調査の期限延長（規則第37条　第1号）</w:t>
            </w:r>
          </w:p>
          <w:p w:rsidR="00116A90" w:rsidRPr="00116A90" w:rsidRDefault="00116A90" w:rsidP="00116A90">
            <w:pPr>
              <w:rPr>
                <w:rFonts w:asciiTheme="majorEastAsia" w:eastAsiaTheme="majorEastAsia" w:hAnsiTheme="majorEastAsia"/>
                <w:szCs w:val="24"/>
                <w:u w:val="single"/>
              </w:rPr>
            </w:pPr>
            <w:r w:rsidRPr="00116A90">
              <w:rPr>
                <w:rFonts w:asciiTheme="majorEastAsia" w:eastAsiaTheme="majorEastAsia" w:hAnsiTheme="majorEastAsia" w:hint="eastAsia"/>
                <w:szCs w:val="24"/>
                <w:u w:val="single"/>
              </w:rPr>
              <w:t>※４号業務が対象で、再調査は対象外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A90" w:rsidRPr="00996A7D" w:rsidRDefault="00116A90" w:rsidP="00116A90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</w:p>
        </w:tc>
      </w:tr>
      <w:tr w:rsidR="00116A90" w:rsidRPr="00996A7D" w:rsidTr="00116A90">
        <w:trPr>
          <w:trHeight w:val="6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90" w:rsidRPr="00996A7D" w:rsidRDefault="00116A90" w:rsidP="00116A90">
            <w:pPr>
              <w:rPr>
                <w:rFonts w:asciiTheme="majorEastAsia" w:eastAsiaTheme="majorEastAsia" w:hAnsiTheme="majorEastAsia"/>
                <w:szCs w:val="24"/>
              </w:rPr>
            </w:pPr>
            <w:r w:rsidRPr="00996A7D">
              <w:rPr>
                <w:rFonts w:asciiTheme="majorEastAsia" w:eastAsiaTheme="majorEastAsia" w:hAnsiTheme="majorEastAsia" w:hint="eastAsia"/>
                <w:szCs w:val="24"/>
              </w:rPr>
              <w:t>一般消費者等に対する周知の期限延長（規則第38条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の2　第1項及び第2項</w:t>
            </w:r>
            <w:r w:rsidRPr="00996A7D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A90" w:rsidRPr="00996A7D" w:rsidRDefault="00116A90" w:rsidP="00116A90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</w:p>
        </w:tc>
      </w:tr>
      <w:tr w:rsidR="00116A90" w:rsidRPr="00996A7D" w:rsidTr="00116A90">
        <w:trPr>
          <w:trHeight w:val="6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90" w:rsidRPr="00996A7D" w:rsidRDefault="00116A90" w:rsidP="00116A90">
            <w:pPr>
              <w:rPr>
                <w:rFonts w:asciiTheme="majorEastAsia" w:eastAsiaTheme="majorEastAsia" w:hAnsiTheme="majorEastAsia"/>
                <w:szCs w:val="24"/>
              </w:rPr>
            </w:pPr>
            <w:r w:rsidRPr="00996A7D">
              <w:rPr>
                <w:rFonts w:asciiTheme="majorEastAsia" w:eastAsiaTheme="majorEastAsia" w:hAnsiTheme="majorEastAsia" w:hint="eastAsia"/>
                <w:szCs w:val="24"/>
              </w:rPr>
              <w:t>認定液化石油ガス販売事業者に係る報告期限延長（規則第48条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第2項</w:t>
            </w:r>
            <w:r w:rsidRPr="00996A7D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A90" w:rsidRPr="00996A7D" w:rsidRDefault="00116A90" w:rsidP="00116A90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</w:p>
        </w:tc>
      </w:tr>
      <w:tr w:rsidR="00116A90" w:rsidRPr="00996A7D" w:rsidTr="00116A90">
        <w:trPr>
          <w:trHeight w:val="6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90" w:rsidRPr="00996A7D" w:rsidRDefault="00116A90" w:rsidP="00116A90">
            <w:pPr>
              <w:rPr>
                <w:rFonts w:asciiTheme="majorEastAsia" w:eastAsiaTheme="majorEastAsia" w:hAnsiTheme="majorEastAsia"/>
                <w:szCs w:val="24"/>
              </w:rPr>
            </w:pPr>
            <w:r w:rsidRPr="00996A7D">
              <w:rPr>
                <w:rFonts w:asciiTheme="majorEastAsia" w:eastAsiaTheme="majorEastAsia" w:hAnsiTheme="majorEastAsia" w:hint="eastAsia"/>
                <w:szCs w:val="24"/>
              </w:rPr>
              <w:t>充てん設備の保安検査の期限延長（規則第81条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第1項</w:t>
            </w:r>
            <w:r w:rsidRPr="00996A7D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A90" w:rsidRPr="00996A7D" w:rsidRDefault="00116A90" w:rsidP="00116A90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</w:p>
        </w:tc>
      </w:tr>
      <w:tr w:rsidR="00116A90" w:rsidRPr="00996A7D" w:rsidTr="00116A90">
        <w:trPr>
          <w:trHeight w:val="67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90" w:rsidRPr="00996A7D" w:rsidRDefault="00116A90" w:rsidP="00116A90">
            <w:pPr>
              <w:rPr>
                <w:rFonts w:asciiTheme="majorEastAsia" w:eastAsiaTheme="majorEastAsia" w:hAnsiTheme="majorEastAsia"/>
                <w:szCs w:val="24"/>
              </w:rPr>
            </w:pPr>
            <w:r w:rsidRPr="00996A7D">
              <w:rPr>
                <w:rFonts w:asciiTheme="majorEastAsia" w:eastAsiaTheme="majorEastAsia" w:hAnsiTheme="majorEastAsia" w:hint="eastAsia"/>
                <w:szCs w:val="24"/>
              </w:rPr>
              <w:t>液化石油ガス販売事業者、保安機関及び充てん事業者に係る事業年度終了後の報告期限延長（規則第132条）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90" w:rsidRPr="00996A7D" w:rsidRDefault="00116A90" w:rsidP="00116A9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116A90" w:rsidRPr="00116A90" w:rsidRDefault="00116A90" w:rsidP="00203551">
      <w:pPr>
        <w:spacing w:afterLines="20" w:after="48"/>
        <w:rPr>
          <w:rFonts w:asciiTheme="majorEastAsia" w:eastAsiaTheme="majorEastAsia" w:hAnsiTheme="majorEastAsia"/>
          <w:b/>
          <w:szCs w:val="24"/>
        </w:rPr>
      </w:pPr>
    </w:p>
    <w:p w:rsidR="00393C02" w:rsidRDefault="00393C02" w:rsidP="00203551">
      <w:pPr>
        <w:spacing w:afterLines="20" w:after="48"/>
        <w:rPr>
          <w:rFonts w:asciiTheme="majorEastAsia" w:eastAsiaTheme="majorEastAsia" w:hAnsiTheme="majorEastAsia"/>
          <w:b/>
          <w:szCs w:val="24"/>
        </w:rPr>
      </w:pPr>
      <w:r w:rsidRPr="00996A7D">
        <w:rPr>
          <w:rFonts w:asciiTheme="majorEastAsia" w:eastAsiaTheme="majorEastAsia" w:hAnsiTheme="majorEastAsia" w:hint="eastAsia"/>
          <w:b/>
          <w:szCs w:val="24"/>
        </w:rPr>
        <w:t>○高圧法</w:t>
      </w:r>
      <w:r w:rsidR="00B404D8" w:rsidRPr="00996A7D">
        <w:rPr>
          <w:rFonts w:asciiTheme="majorEastAsia" w:eastAsiaTheme="majorEastAsia" w:hAnsiTheme="majorEastAsia" w:hint="eastAsia"/>
          <w:b/>
          <w:szCs w:val="24"/>
        </w:rPr>
        <w:t>関連</w:t>
      </w:r>
    </w:p>
    <w:tbl>
      <w:tblPr>
        <w:tblStyle w:val="a8"/>
        <w:tblpPr w:leftFromText="142" w:rightFromText="142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6771"/>
        <w:gridCol w:w="2976"/>
      </w:tblGrid>
      <w:tr w:rsidR="00116A90" w:rsidTr="00116A90">
        <w:trPr>
          <w:trHeight w:val="397"/>
        </w:trPr>
        <w:tc>
          <w:tcPr>
            <w:tcW w:w="6771" w:type="dxa"/>
            <w:vAlign w:val="center"/>
          </w:tcPr>
          <w:p w:rsidR="00116A90" w:rsidRPr="00203551" w:rsidRDefault="00116A90" w:rsidP="00116A90">
            <w:pPr>
              <w:spacing w:afterLines="20" w:after="4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03551">
              <w:rPr>
                <w:rFonts w:asciiTheme="majorEastAsia" w:eastAsiaTheme="majorEastAsia" w:hAnsiTheme="majorEastAsia" w:hint="eastAsia"/>
                <w:szCs w:val="24"/>
              </w:rPr>
              <w:t>措置名</w:t>
            </w:r>
          </w:p>
        </w:tc>
        <w:tc>
          <w:tcPr>
            <w:tcW w:w="2976" w:type="dxa"/>
            <w:vAlign w:val="center"/>
          </w:tcPr>
          <w:p w:rsidR="00116A90" w:rsidRPr="00203551" w:rsidRDefault="00116A90" w:rsidP="00116A90">
            <w:pPr>
              <w:spacing w:afterLines="20" w:after="4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03551">
              <w:rPr>
                <w:rFonts w:asciiTheme="majorEastAsia" w:eastAsiaTheme="majorEastAsia" w:hAnsiTheme="majorEastAsia" w:hint="eastAsia"/>
                <w:szCs w:val="24"/>
              </w:rPr>
              <w:t>適用期間</w:t>
            </w:r>
          </w:p>
        </w:tc>
      </w:tr>
      <w:tr w:rsidR="00116A90" w:rsidTr="00116A90">
        <w:tc>
          <w:tcPr>
            <w:tcW w:w="6771" w:type="dxa"/>
            <w:vAlign w:val="center"/>
          </w:tcPr>
          <w:p w:rsidR="00116A90" w:rsidRDefault="00116A90" w:rsidP="00116A90">
            <w:pPr>
              <w:spacing w:afterLines="20" w:after="48"/>
              <w:rPr>
                <w:rFonts w:asciiTheme="majorEastAsia" w:eastAsiaTheme="majorEastAsia" w:hAnsiTheme="majorEastAsia"/>
                <w:szCs w:val="24"/>
              </w:rPr>
            </w:pPr>
            <w:r w:rsidRPr="00203551">
              <w:rPr>
                <w:rFonts w:asciiTheme="majorEastAsia" w:eastAsiaTheme="majorEastAsia" w:hAnsiTheme="majorEastAsia" w:hint="eastAsia"/>
                <w:szCs w:val="24"/>
              </w:rPr>
              <w:t>保安検査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の期限延長</w:t>
            </w:r>
          </w:p>
          <w:p w:rsidR="00116A90" w:rsidRPr="00203551" w:rsidRDefault="00116A90" w:rsidP="00116A90">
            <w:pPr>
              <w:spacing w:afterLines="20" w:after="48"/>
              <w:rPr>
                <w:rFonts w:asciiTheme="majorEastAsia" w:eastAsiaTheme="majorEastAsia" w:hAnsiTheme="majorEastAsia"/>
                <w:szCs w:val="24"/>
              </w:rPr>
            </w:pPr>
            <w:r w:rsidRPr="00203551">
              <w:rPr>
                <w:rFonts w:asciiTheme="majorEastAsia" w:eastAsiaTheme="majorEastAsia" w:hAnsiTheme="majorEastAsia" w:hint="eastAsia"/>
                <w:szCs w:val="24"/>
              </w:rPr>
              <w:t>（液石則第77条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203551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2項）</w:t>
            </w:r>
          </w:p>
        </w:tc>
        <w:tc>
          <w:tcPr>
            <w:tcW w:w="2976" w:type="dxa"/>
            <w:vMerge w:val="restart"/>
            <w:vAlign w:val="center"/>
          </w:tcPr>
          <w:p w:rsidR="00116A90" w:rsidRPr="00203551" w:rsidRDefault="00116A90" w:rsidP="00116A90">
            <w:pPr>
              <w:rPr>
                <w:rFonts w:asciiTheme="majorEastAsia" w:eastAsiaTheme="majorEastAsia" w:hAnsiTheme="majorEastAsia"/>
                <w:szCs w:val="24"/>
              </w:rPr>
            </w:pPr>
            <w:r w:rsidRPr="00203551">
              <w:rPr>
                <w:rFonts w:asciiTheme="majorEastAsia" w:eastAsiaTheme="majorEastAsia" w:hAnsiTheme="majorEastAsia" w:hint="eastAsia"/>
                <w:szCs w:val="24"/>
              </w:rPr>
              <w:t>令和２年４月１０日から同年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９</w:t>
            </w:r>
            <w:r w:rsidRPr="00203551">
              <w:rPr>
                <w:rFonts w:asciiTheme="majorEastAsia" w:eastAsiaTheme="majorEastAsia" w:hAnsiTheme="majorEastAsia" w:hint="eastAsia"/>
                <w:szCs w:val="24"/>
              </w:rPr>
              <w:t>月３０日までの間に終了する場合は、その期間を４ヶ月延長する。</w:t>
            </w:r>
          </w:p>
        </w:tc>
      </w:tr>
      <w:tr w:rsidR="00116A90" w:rsidTr="00116A90">
        <w:tc>
          <w:tcPr>
            <w:tcW w:w="6771" w:type="dxa"/>
            <w:vAlign w:val="center"/>
          </w:tcPr>
          <w:p w:rsidR="00116A90" w:rsidRDefault="00116A90" w:rsidP="00116A90">
            <w:pPr>
              <w:spacing w:afterLines="20" w:after="48"/>
              <w:rPr>
                <w:rFonts w:asciiTheme="majorEastAsia" w:eastAsiaTheme="majorEastAsia" w:hAnsiTheme="majorEastAsia"/>
                <w:szCs w:val="24"/>
              </w:rPr>
            </w:pPr>
            <w:r w:rsidRPr="00203551">
              <w:rPr>
                <w:rFonts w:asciiTheme="majorEastAsia" w:eastAsiaTheme="majorEastAsia" w:hAnsiTheme="majorEastAsia" w:hint="eastAsia"/>
                <w:szCs w:val="24"/>
              </w:rPr>
              <w:t>定期自主検査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の期限延長</w:t>
            </w:r>
          </w:p>
          <w:p w:rsidR="00116A90" w:rsidRPr="00203551" w:rsidRDefault="00116A90" w:rsidP="00116A90">
            <w:pPr>
              <w:spacing w:afterLines="20" w:after="48"/>
              <w:rPr>
                <w:rFonts w:asciiTheme="majorEastAsia" w:eastAsiaTheme="majorEastAsia" w:hAnsiTheme="majorEastAsia"/>
                <w:b/>
                <w:szCs w:val="24"/>
              </w:rPr>
            </w:pPr>
            <w:r w:rsidRPr="00203551">
              <w:rPr>
                <w:rFonts w:asciiTheme="majorEastAsia" w:eastAsiaTheme="majorEastAsia" w:hAnsiTheme="majorEastAsia" w:hint="eastAsia"/>
                <w:szCs w:val="24"/>
              </w:rPr>
              <w:t>（液石則第81条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203551">
              <w:rPr>
                <w:rFonts w:asciiTheme="majorEastAsia" w:eastAsiaTheme="majorEastAsia" w:hAnsiTheme="majorEastAsia" w:hint="eastAsia"/>
                <w:szCs w:val="24"/>
              </w:rPr>
              <w:t>第4項）</w:t>
            </w:r>
          </w:p>
        </w:tc>
        <w:tc>
          <w:tcPr>
            <w:tcW w:w="2976" w:type="dxa"/>
            <w:vMerge/>
          </w:tcPr>
          <w:p w:rsidR="00116A90" w:rsidRDefault="00116A90" w:rsidP="00116A90">
            <w:pPr>
              <w:spacing w:afterLines="20" w:after="48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55322F" w:rsidRPr="00996A7D" w:rsidRDefault="0055322F" w:rsidP="00203551">
      <w:pPr>
        <w:spacing w:afterLines="50" w:after="120" w:line="100" w:lineRule="exact"/>
        <w:rPr>
          <w:rFonts w:asciiTheme="majorEastAsia" w:eastAsiaTheme="majorEastAsia" w:hAnsiTheme="majorEastAsia"/>
          <w:szCs w:val="24"/>
        </w:rPr>
      </w:pPr>
    </w:p>
    <w:p w:rsidR="00FF400F" w:rsidRPr="00116A90" w:rsidRDefault="00116A90" w:rsidP="00203551">
      <w:pPr>
        <w:spacing w:afterLines="50" w:after="120"/>
        <w:rPr>
          <w:rFonts w:asciiTheme="majorEastAsia" w:eastAsiaTheme="majorEastAsia" w:hAnsiTheme="majorEastAsia"/>
          <w:szCs w:val="24"/>
        </w:rPr>
      </w:pPr>
      <w:r w:rsidRPr="00116A90">
        <w:rPr>
          <w:rFonts w:asciiTheme="majorEastAsia" w:eastAsiaTheme="majorEastAsia" w:hAnsiTheme="majorEastAsia" w:hint="eastAsia"/>
          <w:b/>
          <w:szCs w:val="24"/>
        </w:rPr>
        <w:t>【</w:t>
      </w:r>
      <w:r w:rsidR="00FF400F" w:rsidRPr="00116A90">
        <w:rPr>
          <w:rFonts w:asciiTheme="majorEastAsia" w:eastAsiaTheme="majorEastAsia" w:hAnsiTheme="majorEastAsia" w:hint="eastAsia"/>
          <w:b/>
          <w:szCs w:val="24"/>
        </w:rPr>
        <w:t>経産省ホームページ掲載アドレス</w:t>
      </w:r>
      <w:r w:rsidR="0055322F" w:rsidRPr="00116A90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116A90">
        <w:rPr>
          <w:rFonts w:asciiTheme="majorEastAsia" w:eastAsiaTheme="majorEastAsia" w:hAnsiTheme="majorEastAsia" w:hint="eastAsia"/>
          <w:b/>
          <w:szCs w:val="24"/>
        </w:rPr>
        <w:t>】</w:t>
      </w:r>
    </w:p>
    <w:p w:rsidR="00B404D8" w:rsidRPr="00996A7D" w:rsidRDefault="00B404D8" w:rsidP="00203551">
      <w:pPr>
        <w:spacing w:afterLines="50" w:after="120"/>
        <w:rPr>
          <w:rFonts w:asciiTheme="majorEastAsia" w:eastAsiaTheme="majorEastAsia" w:hAnsiTheme="majorEastAsia"/>
          <w:b/>
          <w:szCs w:val="24"/>
          <w:bdr w:val="single" w:sz="4" w:space="0" w:color="auto"/>
        </w:rPr>
      </w:pPr>
      <w:r w:rsidRPr="00996A7D">
        <w:rPr>
          <w:rFonts w:asciiTheme="majorEastAsia" w:eastAsiaTheme="majorEastAsia" w:hAnsiTheme="majorEastAsia" w:hint="eastAsia"/>
          <w:szCs w:val="24"/>
        </w:rPr>
        <w:t xml:space="preserve">○改正について掲載されているホームページ（経産省ホームページ内）　</w:t>
      </w:r>
    </w:p>
    <w:p w:rsidR="00B404D8" w:rsidRPr="00996A7D" w:rsidRDefault="00B404D8" w:rsidP="00B404D8">
      <w:pPr>
        <w:pStyle w:val="af"/>
        <w:rPr>
          <w:rFonts w:asciiTheme="majorEastAsia" w:eastAsiaTheme="majorEastAsia" w:hAnsiTheme="majorEastAsia"/>
          <w:sz w:val="24"/>
          <w:szCs w:val="24"/>
        </w:rPr>
      </w:pPr>
      <w:r w:rsidRPr="00996A7D">
        <w:rPr>
          <w:rFonts w:asciiTheme="majorEastAsia" w:eastAsiaTheme="majorEastAsia" w:hAnsiTheme="majorEastAsia" w:hint="eastAsia"/>
          <w:sz w:val="24"/>
          <w:szCs w:val="24"/>
        </w:rPr>
        <w:t>（液石法関連）</w:t>
      </w:r>
    </w:p>
    <w:p w:rsidR="002E73AD" w:rsidRPr="002E73AD" w:rsidRDefault="0080133B" w:rsidP="00B404D8">
      <w:pPr>
        <w:pStyle w:val="af"/>
        <w:rPr>
          <w:rFonts w:asciiTheme="majorEastAsia" w:eastAsiaTheme="majorEastAsia" w:hAnsiTheme="majorEastAsia"/>
          <w:sz w:val="18"/>
          <w:szCs w:val="18"/>
        </w:rPr>
      </w:pPr>
      <w:hyperlink r:id="rId9" w:history="1">
        <w:r w:rsidR="002E73AD" w:rsidRPr="002E73AD">
          <w:rPr>
            <w:rStyle w:val="ad"/>
            <w:rFonts w:asciiTheme="majorEastAsia" w:eastAsiaTheme="majorEastAsia" w:hAnsiTheme="majorEastAsia"/>
            <w:sz w:val="18"/>
            <w:szCs w:val="18"/>
          </w:rPr>
          <w:t>https://www.meti.go.jp/policy/safety_security/industrial_safety/oshirase/2020/04/20200410-02.html</w:t>
        </w:r>
      </w:hyperlink>
    </w:p>
    <w:p w:rsidR="00B404D8" w:rsidRDefault="00B404D8" w:rsidP="00B404D8">
      <w:pPr>
        <w:pStyle w:val="af"/>
        <w:rPr>
          <w:rFonts w:asciiTheme="majorEastAsia" w:eastAsiaTheme="majorEastAsia" w:hAnsiTheme="majorEastAsia"/>
          <w:sz w:val="24"/>
          <w:szCs w:val="24"/>
        </w:rPr>
      </w:pPr>
      <w:r w:rsidRPr="00996A7D">
        <w:rPr>
          <w:rFonts w:asciiTheme="majorEastAsia" w:eastAsiaTheme="majorEastAsia" w:hAnsiTheme="majorEastAsia" w:hint="eastAsia"/>
          <w:sz w:val="24"/>
          <w:szCs w:val="24"/>
        </w:rPr>
        <w:t>（高圧法関連）</w:t>
      </w:r>
    </w:p>
    <w:p w:rsidR="002E73AD" w:rsidRPr="002E73AD" w:rsidRDefault="0080133B" w:rsidP="00B404D8">
      <w:pPr>
        <w:pStyle w:val="af"/>
        <w:rPr>
          <w:rFonts w:asciiTheme="majorEastAsia" w:eastAsiaTheme="majorEastAsia" w:hAnsiTheme="majorEastAsia"/>
          <w:sz w:val="18"/>
          <w:szCs w:val="18"/>
        </w:rPr>
      </w:pPr>
      <w:hyperlink r:id="rId10" w:history="1">
        <w:r w:rsidR="002E73AD" w:rsidRPr="002E73AD">
          <w:rPr>
            <w:rStyle w:val="ad"/>
            <w:rFonts w:asciiTheme="majorEastAsia" w:eastAsiaTheme="majorEastAsia" w:hAnsiTheme="majorEastAsia"/>
            <w:sz w:val="18"/>
            <w:szCs w:val="18"/>
          </w:rPr>
          <w:t>https://www.meti.go.jp/policy/safety_security/industrial_safety/oshirase/2020/04/20200410_04.html</w:t>
        </w:r>
      </w:hyperlink>
    </w:p>
    <w:p w:rsidR="00FF400F" w:rsidRPr="00996A7D" w:rsidRDefault="00FF400F" w:rsidP="00203551">
      <w:pPr>
        <w:spacing w:afterLines="20" w:after="48"/>
        <w:ind w:firstLineChars="100" w:firstLine="240"/>
        <w:jc w:val="right"/>
        <w:rPr>
          <w:rFonts w:asciiTheme="majorEastAsia" w:eastAsiaTheme="majorEastAsia" w:hAnsiTheme="majorEastAsia"/>
          <w:szCs w:val="24"/>
        </w:rPr>
      </w:pPr>
      <w:r w:rsidRPr="00996A7D">
        <w:rPr>
          <w:rFonts w:asciiTheme="majorEastAsia" w:eastAsiaTheme="majorEastAsia" w:hAnsiTheme="majorEastAsia" w:hint="eastAsia"/>
          <w:szCs w:val="24"/>
        </w:rPr>
        <w:t>以　上</w:t>
      </w:r>
    </w:p>
    <w:p w:rsidR="00FF400F" w:rsidRPr="00996A7D" w:rsidRDefault="00FF400F">
      <w:pPr>
        <w:ind w:left="210" w:firstLine="210"/>
        <w:jc w:val="right"/>
        <w:rPr>
          <w:rFonts w:asciiTheme="majorEastAsia" w:eastAsiaTheme="majorEastAsia" w:hAnsiTheme="majorEastAsia"/>
          <w:szCs w:val="24"/>
        </w:rPr>
      </w:pPr>
      <w:r w:rsidRPr="00996A7D">
        <w:rPr>
          <w:rFonts w:asciiTheme="majorEastAsia" w:eastAsiaTheme="majorEastAsia" w:hAnsiTheme="majorEastAsia" w:hint="eastAsia"/>
          <w:szCs w:val="24"/>
        </w:rPr>
        <w:t>発信手段：Ｅメール</w:t>
      </w:r>
    </w:p>
    <w:p w:rsidR="00FF400F" w:rsidRPr="00996A7D" w:rsidRDefault="00FF400F">
      <w:pPr>
        <w:ind w:left="210" w:firstLine="210"/>
        <w:jc w:val="right"/>
        <w:rPr>
          <w:rFonts w:asciiTheme="majorEastAsia" w:eastAsiaTheme="majorEastAsia" w:hAnsiTheme="majorEastAsia"/>
          <w:szCs w:val="24"/>
        </w:rPr>
      </w:pPr>
      <w:r w:rsidRPr="00996A7D">
        <w:rPr>
          <w:rFonts w:asciiTheme="majorEastAsia" w:eastAsiaTheme="majorEastAsia" w:hAnsiTheme="majorEastAsia" w:hint="eastAsia"/>
          <w:szCs w:val="24"/>
        </w:rPr>
        <w:t>保安部：髙木、橋本</w:t>
      </w:r>
    </w:p>
    <w:sectPr w:rsidR="00FF400F" w:rsidRPr="00996A7D" w:rsidSect="00203551">
      <w:pgSz w:w="11906" w:h="16838" w:code="9"/>
      <w:pgMar w:top="851" w:right="1077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08" w:rsidRDefault="00560808">
      <w:r>
        <w:separator/>
      </w:r>
    </w:p>
  </w:endnote>
  <w:endnote w:type="continuationSeparator" w:id="0">
    <w:p w:rsidR="00560808" w:rsidRDefault="0056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08" w:rsidRDefault="00560808">
      <w:r>
        <w:separator/>
      </w:r>
    </w:p>
  </w:footnote>
  <w:footnote w:type="continuationSeparator" w:id="0">
    <w:p w:rsidR="00560808" w:rsidRDefault="00560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4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5"/>
    <w:rsid w:val="00002979"/>
    <w:rsid w:val="00014D03"/>
    <w:rsid w:val="00063B6B"/>
    <w:rsid w:val="000655DA"/>
    <w:rsid w:val="00116A90"/>
    <w:rsid w:val="00147026"/>
    <w:rsid w:val="001B0F09"/>
    <w:rsid w:val="00203551"/>
    <w:rsid w:val="00260E13"/>
    <w:rsid w:val="002C5627"/>
    <w:rsid w:val="002E73AD"/>
    <w:rsid w:val="00393C02"/>
    <w:rsid w:val="00511E62"/>
    <w:rsid w:val="005530A4"/>
    <w:rsid w:val="0055322F"/>
    <w:rsid w:val="00560808"/>
    <w:rsid w:val="005A4548"/>
    <w:rsid w:val="005C4681"/>
    <w:rsid w:val="006964A6"/>
    <w:rsid w:val="0074710D"/>
    <w:rsid w:val="007915E0"/>
    <w:rsid w:val="0080133B"/>
    <w:rsid w:val="00841CF0"/>
    <w:rsid w:val="0088289D"/>
    <w:rsid w:val="008E1DFD"/>
    <w:rsid w:val="00996A7D"/>
    <w:rsid w:val="00A4062F"/>
    <w:rsid w:val="00AD35F5"/>
    <w:rsid w:val="00B01193"/>
    <w:rsid w:val="00B404D8"/>
    <w:rsid w:val="00BB2C1B"/>
    <w:rsid w:val="00BE645C"/>
    <w:rsid w:val="00C0723D"/>
    <w:rsid w:val="00C810B5"/>
    <w:rsid w:val="00CA35D7"/>
    <w:rsid w:val="00D844A1"/>
    <w:rsid w:val="00D95CE9"/>
    <w:rsid w:val="00DD731D"/>
    <w:rsid w:val="00E428B6"/>
    <w:rsid w:val="00E93AEF"/>
    <w:rsid w:val="00F15F5C"/>
    <w:rsid w:val="00F9600A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B404D8"/>
    <w:pPr>
      <w:jc w:val="left"/>
    </w:pPr>
    <w:rPr>
      <w:rFonts w:ascii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semiHidden/>
    <w:rsid w:val="00B404D8"/>
    <w:rPr>
      <w:rFonts w:ascii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B404D8"/>
    <w:pPr>
      <w:jc w:val="left"/>
    </w:pPr>
    <w:rPr>
      <w:rFonts w:ascii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semiHidden/>
    <w:rsid w:val="00B404D8"/>
    <w:rPr>
      <w:rFonts w:ascii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eti.go.jp/policy/safety_security/industrial_safety/oshirase/2020/04/20200410_0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eti.go.jp/policy/safety_security/industrial_safety/oshirase/2020/04/20200410-02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EB0B8-E34D-4891-9D32-EB1199A6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1186</CharactersWithSpaces>
  <SharedDoc>false</SharedDoc>
  <HLinks>
    <vt:vector size="18" baseType="variant">
      <vt:variant>
        <vt:i4>2555989</vt:i4>
      </vt:variant>
      <vt:variant>
        <vt:i4>6</vt:i4>
      </vt:variant>
      <vt:variant>
        <vt:i4>0</vt:i4>
      </vt:variant>
      <vt:variant>
        <vt:i4>5</vt:i4>
      </vt:variant>
      <vt:variant>
        <vt:lpwstr>https://www.meti.go.jp/policy/safety_security/industrial_safety/oshirase/2020/03/20200317_1.html</vt:lpwstr>
      </vt:variant>
      <vt:variant>
        <vt:lpwstr/>
      </vt:variant>
      <vt:variant>
        <vt:i4>5505035</vt:i4>
      </vt:variant>
      <vt:variant>
        <vt:i4>3</vt:i4>
      </vt:variant>
      <vt:variant>
        <vt:i4>0</vt:i4>
      </vt:variant>
      <vt:variant>
        <vt:i4>5</vt:i4>
      </vt:variant>
      <vt:variant>
        <vt:lpwstr>https://www.meti.go.jp/policy/safety_security/industrial_safety/oshirase/2020/03/20200317-02.html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https://www.meti.go.jp/policy/safety_security/industrial_safety/oshirase/2020/03/20200317-03.html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2020-04-10T05:45:00Z</dcterms:created>
  <dcterms:modified xsi:type="dcterms:W3CDTF">2020-04-13T02:43:00Z</dcterms:modified>
</cp:coreProperties>
</file>